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EC20A" w14:textId="2A1E2B19" w:rsidR="00EA06AB" w:rsidRDefault="00EA06AB" w:rsidP="00B15065">
      <w:pPr>
        <w:jc w:val="center"/>
        <w:rPr>
          <w:b/>
        </w:rPr>
      </w:pPr>
      <w:r w:rsidRPr="008C749B">
        <w:rPr>
          <w:b/>
        </w:rPr>
        <w:t xml:space="preserve">RBM MIP Working Group </w:t>
      </w:r>
      <w:r w:rsidR="00C568F5">
        <w:rPr>
          <w:b/>
        </w:rPr>
        <w:t>meeting, January</w:t>
      </w:r>
      <w:r w:rsidR="00FF0771">
        <w:rPr>
          <w:b/>
        </w:rPr>
        <w:t xml:space="preserve"> 1</w:t>
      </w:r>
      <w:r w:rsidR="00C568F5">
        <w:rPr>
          <w:b/>
        </w:rPr>
        <w:t>9, 2017</w:t>
      </w:r>
    </w:p>
    <w:p w14:paraId="6476D019" w14:textId="77777777" w:rsidR="008C749B" w:rsidRDefault="008C749B" w:rsidP="008C749B">
      <w:pPr>
        <w:jc w:val="center"/>
        <w:rPr>
          <w:b/>
        </w:rPr>
      </w:pPr>
      <w:r>
        <w:rPr>
          <w:b/>
        </w:rPr>
        <w:t>Meeting Minutes</w:t>
      </w:r>
    </w:p>
    <w:p w14:paraId="7DE5AD83" w14:textId="2475F10E" w:rsidR="008802B9" w:rsidRPr="000C0CA8" w:rsidRDefault="00820D02" w:rsidP="000C0CA8">
      <w:pPr>
        <w:pStyle w:val="NoSpacing"/>
        <w:rPr>
          <w:u w:val="single"/>
        </w:rPr>
      </w:pPr>
      <w:r w:rsidRPr="00820D02">
        <w:rPr>
          <w:u w:val="single"/>
        </w:rPr>
        <w:t>Participants:</w:t>
      </w:r>
    </w:p>
    <w:p w14:paraId="19EA2C93" w14:textId="209E5042" w:rsidR="006665D8" w:rsidRPr="00C568F5" w:rsidRDefault="006665D8" w:rsidP="008802B9">
      <w:pPr>
        <w:pStyle w:val="ListParagraph"/>
        <w:numPr>
          <w:ilvl w:val="0"/>
          <w:numId w:val="20"/>
        </w:numPr>
      </w:pPr>
      <w:r w:rsidRPr="00C568F5">
        <w:t>Erin Ferenchick, the Global Fund</w:t>
      </w:r>
    </w:p>
    <w:p w14:paraId="2B23BF62" w14:textId="4A2DEEA3" w:rsidR="006665D8" w:rsidRPr="00C568F5" w:rsidRDefault="006665D8" w:rsidP="008802B9">
      <w:pPr>
        <w:pStyle w:val="ListParagraph"/>
        <w:numPr>
          <w:ilvl w:val="0"/>
          <w:numId w:val="20"/>
        </w:numPr>
      </w:pPr>
      <w:r w:rsidRPr="00C568F5">
        <w:t>Maud Majeres Lugand</w:t>
      </w:r>
      <w:r w:rsidR="00F97668" w:rsidRPr="00C568F5">
        <w:t>, MMV</w:t>
      </w:r>
    </w:p>
    <w:p w14:paraId="34521C30" w14:textId="4D102BBD" w:rsidR="00F97668" w:rsidRPr="00C568F5" w:rsidRDefault="00F97668" w:rsidP="008802B9">
      <w:pPr>
        <w:pStyle w:val="ListParagraph"/>
        <w:numPr>
          <w:ilvl w:val="0"/>
          <w:numId w:val="20"/>
        </w:numPr>
      </w:pPr>
      <w:r w:rsidRPr="00C568F5">
        <w:t>Julie Gutman, CDC</w:t>
      </w:r>
    </w:p>
    <w:p w14:paraId="006AC463" w14:textId="486D7D57" w:rsidR="00F97668" w:rsidRPr="00C568F5" w:rsidRDefault="00F97668" w:rsidP="008802B9">
      <w:pPr>
        <w:pStyle w:val="ListParagraph"/>
        <w:numPr>
          <w:ilvl w:val="0"/>
          <w:numId w:val="20"/>
        </w:numPr>
      </w:pPr>
      <w:r w:rsidRPr="00C568F5">
        <w:t>Jenny Hill, LSTM</w:t>
      </w:r>
    </w:p>
    <w:p w14:paraId="3853817E" w14:textId="13FFFC02" w:rsidR="002928FC" w:rsidRPr="00C568F5" w:rsidRDefault="002928FC" w:rsidP="008802B9">
      <w:pPr>
        <w:pStyle w:val="ListParagraph"/>
        <w:numPr>
          <w:ilvl w:val="0"/>
          <w:numId w:val="20"/>
        </w:numPr>
      </w:pPr>
      <w:r w:rsidRPr="00C568F5">
        <w:t xml:space="preserve">Samantha </w:t>
      </w:r>
      <w:r w:rsidR="00FF0771" w:rsidRPr="00C568F5">
        <w:t>S</w:t>
      </w:r>
      <w:r w:rsidRPr="00C568F5">
        <w:t>alcedo</w:t>
      </w:r>
      <w:r w:rsidR="00FF0771" w:rsidRPr="00C568F5">
        <w:t>-Mason</w:t>
      </w:r>
      <w:r w:rsidRPr="00C568F5">
        <w:t>, PSM</w:t>
      </w:r>
    </w:p>
    <w:p w14:paraId="37AF4002" w14:textId="103AAD57" w:rsidR="008802B9" w:rsidRPr="00C568F5" w:rsidRDefault="00820D02" w:rsidP="00A707D4">
      <w:pPr>
        <w:pStyle w:val="ListParagraph"/>
        <w:numPr>
          <w:ilvl w:val="0"/>
          <w:numId w:val="20"/>
        </w:numPr>
      </w:pPr>
      <w:r w:rsidRPr="00C568F5">
        <w:t>Kristen Vibbert,</w:t>
      </w:r>
      <w:r w:rsidR="008802B9" w:rsidRPr="00C568F5">
        <w:t xml:space="preserve"> MCSP/Jhpiego</w:t>
      </w:r>
    </w:p>
    <w:p w14:paraId="36188CA4" w14:textId="11F2C624" w:rsidR="00820D02" w:rsidRPr="00C568F5" w:rsidRDefault="00820D02" w:rsidP="00A707D4">
      <w:pPr>
        <w:pStyle w:val="ListParagraph"/>
        <w:numPr>
          <w:ilvl w:val="0"/>
          <w:numId w:val="20"/>
        </w:numPr>
      </w:pPr>
      <w:r w:rsidRPr="00C568F5">
        <w:t>Elaine Roman, MCSP/Jhpiego</w:t>
      </w:r>
    </w:p>
    <w:p w14:paraId="452932F4" w14:textId="71CEEC1B" w:rsidR="004B4DC5" w:rsidRPr="00C568F5" w:rsidRDefault="00FF0771" w:rsidP="008068CA">
      <w:pPr>
        <w:pStyle w:val="ListParagraph"/>
        <w:numPr>
          <w:ilvl w:val="0"/>
          <w:numId w:val="20"/>
        </w:numPr>
      </w:pPr>
      <w:r w:rsidRPr="00C568F5">
        <w:t>Matt Chico, LST</w:t>
      </w:r>
      <w:r w:rsidR="004B4DC5" w:rsidRPr="00C568F5">
        <w:t>M</w:t>
      </w:r>
      <w:r w:rsidRPr="00C568F5">
        <w:t>H</w:t>
      </w:r>
    </w:p>
    <w:p w14:paraId="79777FF8" w14:textId="383E4039" w:rsidR="002928FC" w:rsidRPr="00C568F5" w:rsidRDefault="00431D83" w:rsidP="008068CA">
      <w:pPr>
        <w:pStyle w:val="ListParagraph"/>
        <w:numPr>
          <w:ilvl w:val="0"/>
          <w:numId w:val="20"/>
        </w:numPr>
      </w:pPr>
      <w:r w:rsidRPr="00C568F5">
        <w:t>Kate Wolf, MCSP/Jhpiego</w:t>
      </w:r>
    </w:p>
    <w:p w14:paraId="48EC39B8" w14:textId="03720523" w:rsidR="002928FC" w:rsidRPr="00C568F5" w:rsidRDefault="00F451B2" w:rsidP="008068CA">
      <w:pPr>
        <w:pStyle w:val="ListParagraph"/>
        <w:numPr>
          <w:ilvl w:val="0"/>
          <w:numId w:val="20"/>
        </w:numPr>
      </w:pPr>
      <w:r w:rsidRPr="00C568F5">
        <w:t>Mary Nell Wegner, MHTF</w:t>
      </w:r>
    </w:p>
    <w:p w14:paraId="58B8307A" w14:textId="7400B934" w:rsidR="00431D83" w:rsidRPr="00C568F5" w:rsidRDefault="00431D83" w:rsidP="008068CA">
      <w:pPr>
        <w:pStyle w:val="ListParagraph"/>
        <w:numPr>
          <w:ilvl w:val="0"/>
          <w:numId w:val="20"/>
        </w:numPr>
      </w:pPr>
      <w:r w:rsidRPr="00C568F5">
        <w:t>Madeleine Marasciulo-Rice, Malaria Consortium</w:t>
      </w:r>
    </w:p>
    <w:p w14:paraId="5ACDEDE2" w14:textId="256228F6" w:rsidR="00431D83" w:rsidRPr="003763DA" w:rsidRDefault="00431D83" w:rsidP="008068CA">
      <w:pPr>
        <w:pStyle w:val="ListParagraph"/>
        <w:numPr>
          <w:ilvl w:val="0"/>
          <w:numId w:val="20"/>
        </w:numPr>
      </w:pPr>
      <w:r w:rsidRPr="003763DA">
        <w:t>Ebenezer Sheshi Baba, Malaria Consortium</w:t>
      </w:r>
    </w:p>
    <w:p w14:paraId="5221DEE5" w14:textId="48CF2C58" w:rsidR="00F451B2" w:rsidRPr="00EF199E" w:rsidRDefault="00F451B2" w:rsidP="008068CA">
      <w:pPr>
        <w:pStyle w:val="ListParagraph"/>
        <w:numPr>
          <w:ilvl w:val="0"/>
          <w:numId w:val="20"/>
        </w:numPr>
      </w:pPr>
      <w:r w:rsidRPr="00EF199E">
        <w:t xml:space="preserve">Azucena Bardaji, </w:t>
      </w:r>
      <w:proofErr w:type="spellStart"/>
      <w:r w:rsidRPr="00EF199E">
        <w:t>ISGlobal</w:t>
      </w:r>
      <w:proofErr w:type="spellEnd"/>
    </w:p>
    <w:p w14:paraId="67E7F5D7" w14:textId="45334FD1" w:rsidR="00F451B2" w:rsidRPr="003C6FF4" w:rsidRDefault="00F451B2" w:rsidP="008068CA">
      <w:pPr>
        <w:pStyle w:val="ListParagraph"/>
        <w:numPr>
          <w:ilvl w:val="0"/>
          <w:numId w:val="20"/>
        </w:numPr>
      </w:pPr>
      <w:r w:rsidRPr="003C6FF4">
        <w:t>Silvia Schwarte, WHO</w:t>
      </w:r>
    </w:p>
    <w:p w14:paraId="4EE513BE" w14:textId="303F565C" w:rsidR="00F451B2" w:rsidRPr="00C568F5" w:rsidRDefault="00F451B2" w:rsidP="008068CA">
      <w:pPr>
        <w:pStyle w:val="ListParagraph"/>
        <w:numPr>
          <w:ilvl w:val="0"/>
          <w:numId w:val="20"/>
        </w:numPr>
      </w:pPr>
      <w:r w:rsidRPr="00C568F5">
        <w:t>Valentina Buj, UNICEF</w:t>
      </w:r>
    </w:p>
    <w:p w14:paraId="242C237E" w14:textId="7CD4F339" w:rsidR="00C568F5" w:rsidRPr="00C568F5" w:rsidRDefault="00C568F5" w:rsidP="008068CA">
      <w:pPr>
        <w:pStyle w:val="ListParagraph"/>
        <w:numPr>
          <w:ilvl w:val="0"/>
          <w:numId w:val="20"/>
        </w:numPr>
      </w:pPr>
      <w:r w:rsidRPr="00C568F5">
        <w:t>Triphonie Nkurunziza, WHO</w:t>
      </w:r>
    </w:p>
    <w:p w14:paraId="7E105E2D" w14:textId="397B069B" w:rsidR="00C568F5" w:rsidRDefault="00C568F5" w:rsidP="008068CA">
      <w:pPr>
        <w:pStyle w:val="ListParagraph"/>
        <w:numPr>
          <w:ilvl w:val="0"/>
          <w:numId w:val="20"/>
        </w:numPr>
      </w:pPr>
      <w:r w:rsidRPr="00C568F5">
        <w:t>Meri Sin</w:t>
      </w:r>
      <w:r>
        <w:t>n</w:t>
      </w:r>
      <w:r w:rsidRPr="00C568F5">
        <w:t>itt, USAID</w:t>
      </w:r>
    </w:p>
    <w:p w14:paraId="3FB930D7" w14:textId="2D674B4A" w:rsidR="00C568F5" w:rsidRDefault="00C568F5" w:rsidP="008068CA">
      <w:pPr>
        <w:pStyle w:val="ListParagraph"/>
        <w:numPr>
          <w:ilvl w:val="0"/>
          <w:numId w:val="20"/>
        </w:numPr>
      </w:pPr>
      <w:r>
        <w:t>Bill Brieger, JHU/Jhpiego</w:t>
      </w:r>
    </w:p>
    <w:p w14:paraId="7F58C2DC" w14:textId="0E28F6B1" w:rsidR="003C6FF4" w:rsidRPr="00C568F5" w:rsidRDefault="003C6FF4" w:rsidP="008068CA">
      <w:pPr>
        <w:pStyle w:val="ListParagraph"/>
        <w:numPr>
          <w:ilvl w:val="0"/>
          <w:numId w:val="20"/>
        </w:numPr>
      </w:pPr>
      <w:r>
        <w:t>Prudence Hamade, Malaria Consortium</w:t>
      </w:r>
    </w:p>
    <w:p w14:paraId="25A24266" w14:textId="451CF185" w:rsidR="007C053D" w:rsidRPr="00AB6EC8" w:rsidRDefault="00A707D4" w:rsidP="00FF0771">
      <w:pPr>
        <w:rPr>
          <w:b/>
          <w:u w:val="single"/>
        </w:rPr>
      </w:pPr>
      <w:r w:rsidRPr="00AB6EC8">
        <w:rPr>
          <w:b/>
          <w:u w:val="single"/>
        </w:rPr>
        <w:t>Agenda Items:</w:t>
      </w:r>
    </w:p>
    <w:p w14:paraId="1E82690B" w14:textId="36EA4200" w:rsidR="00C568F5" w:rsidRPr="00C568F5" w:rsidRDefault="00C568F5" w:rsidP="00C568F5">
      <w:pPr>
        <w:pStyle w:val="ListParagraph"/>
        <w:numPr>
          <w:ilvl w:val="0"/>
          <w:numId w:val="4"/>
        </w:numPr>
        <w:rPr>
          <w:b/>
          <w:u w:val="single"/>
        </w:rPr>
      </w:pPr>
      <w:r w:rsidRPr="00C568F5">
        <w:rPr>
          <w:b/>
          <w:u w:val="single"/>
        </w:rPr>
        <w:t>Post ASTMH Updates:</w:t>
      </w:r>
    </w:p>
    <w:p w14:paraId="0C048E83" w14:textId="143D7FAD" w:rsidR="00C568F5" w:rsidRDefault="00C568F5" w:rsidP="003C6FF4">
      <w:pPr>
        <w:pStyle w:val="ListParagraph"/>
        <w:numPr>
          <w:ilvl w:val="1"/>
          <w:numId w:val="4"/>
        </w:numPr>
      </w:pPr>
      <w:proofErr w:type="spellStart"/>
      <w:r>
        <w:t>MiP</w:t>
      </w:r>
      <w:proofErr w:type="spellEnd"/>
      <w:r>
        <w:t xml:space="preserve"> Brief in the context of the updated WHO ANC guidelines</w:t>
      </w:r>
      <w:r w:rsidR="00AB6EC8">
        <w:t>:</w:t>
      </w:r>
    </w:p>
    <w:p w14:paraId="36B7FFB6" w14:textId="42396FAB" w:rsidR="003C6FF4" w:rsidRDefault="003C6FF4" w:rsidP="003C6FF4">
      <w:pPr>
        <w:pStyle w:val="ListParagraph"/>
        <w:ind w:left="1440"/>
      </w:pPr>
      <w:r>
        <w:t xml:space="preserve">WHO recommended drafting a brief </w:t>
      </w:r>
      <w:r w:rsidR="00C91DC3">
        <w:t>with</w:t>
      </w:r>
      <w:r>
        <w:t xml:space="preserve"> further guidance </w:t>
      </w:r>
      <w:r w:rsidR="00C91DC3">
        <w:t xml:space="preserve">to countries to continue to roll out and accelerate </w:t>
      </w:r>
      <w:proofErr w:type="spellStart"/>
      <w:proofErr w:type="gramStart"/>
      <w:r w:rsidR="00C91DC3">
        <w:t>MiP</w:t>
      </w:r>
      <w:proofErr w:type="spellEnd"/>
      <w:proofErr w:type="gramEnd"/>
      <w:r w:rsidR="00C91DC3">
        <w:t xml:space="preserve"> programming in the context of the updated recommendations. </w:t>
      </w:r>
      <w:r>
        <w:t xml:space="preserve">Elaine has </w:t>
      </w:r>
      <w:r w:rsidR="00AB6EC8">
        <w:t>created</w:t>
      </w:r>
      <w:r>
        <w:t xml:space="preserve"> a first draft which she has shared with Viviana and will then share with a small group of </w:t>
      </w:r>
      <w:r w:rsidR="00AB6EC8">
        <w:t>WG</w:t>
      </w:r>
      <w:r>
        <w:t xml:space="preserve"> members </w:t>
      </w:r>
      <w:r w:rsidR="00AB6EC8">
        <w:t>this week</w:t>
      </w:r>
      <w:r>
        <w:t xml:space="preserve"> before sharing with WHO.  </w:t>
      </w:r>
    </w:p>
    <w:p w14:paraId="7E48BEAB" w14:textId="77777777" w:rsidR="00622E82" w:rsidRDefault="00622E82" w:rsidP="003C6FF4">
      <w:pPr>
        <w:pStyle w:val="ListParagraph"/>
        <w:ind w:left="1440"/>
        <w:rPr>
          <w:i/>
          <w:u w:val="single"/>
        </w:rPr>
      </w:pPr>
    </w:p>
    <w:p w14:paraId="01BE312A" w14:textId="77777777" w:rsidR="00AB6EC8" w:rsidRDefault="003C6FF4" w:rsidP="00AB6EC8">
      <w:pPr>
        <w:pStyle w:val="ListParagraph"/>
        <w:ind w:left="1440"/>
      </w:pPr>
      <w:r w:rsidRPr="00DE3CED">
        <w:rPr>
          <w:i/>
          <w:u w:val="single"/>
        </w:rPr>
        <w:t>Discussion:</w:t>
      </w:r>
      <w:r>
        <w:t xml:space="preserve"> </w:t>
      </w:r>
    </w:p>
    <w:p w14:paraId="18D88C09" w14:textId="719BD1D8" w:rsidR="00AB6EC8" w:rsidRDefault="00AB6EC8" w:rsidP="00AB6EC8">
      <w:pPr>
        <w:pStyle w:val="ListParagraph"/>
        <w:numPr>
          <w:ilvl w:val="0"/>
          <w:numId w:val="46"/>
        </w:numPr>
      </w:pPr>
      <w:r>
        <w:t xml:space="preserve">Currently there </w:t>
      </w:r>
      <w:r w:rsidR="003C6FF4">
        <w:t xml:space="preserve">are no immediate plans for guidance </w:t>
      </w:r>
      <w:r w:rsidR="00DE3CED">
        <w:t xml:space="preserve">for countries </w:t>
      </w:r>
      <w:r w:rsidR="003C6FF4">
        <w:t>outside of Afric</w:t>
      </w:r>
      <w:r w:rsidR="00DE3CED">
        <w:t>a</w:t>
      </w:r>
      <w:r>
        <w:t>, but WHO</w:t>
      </w:r>
      <w:r w:rsidR="003C6FF4">
        <w:t xml:space="preserve"> </w:t>
      </w:r>
      <w:r w:rsidR="00DE3CED">
        <w:t xml:space="preserve">will discuss this internally and see if it’s possible to address this. </w:t>
      </w:r>
    </w:p>
    <w:p w14:paraId="12C5D215" w14:textId="27A3D9E0" w:rsidR="00DE3CED" w:rsidRPr="00DE3CED" w:rsidRDefault="00DE3CED" w:rsidP="00AB6EC8">
      <w:pPr>
        <w:pStyle w:val="ListParagraph"/>
        <w:numPr>
          <w:ilvl w:val="0"/>
          <w:numId w:val="46"/>
        </w:numPr>
      </w:pPr>
      <w:r w:rsidRPr="00DE3CED">
        <w:t xml:space="preserve">Vivax in pregnancy is something that WHO also needs to </w:t>
      </w:r>
      <w:r w:rsidR="00AB6EC8">
        <w:t>provide guidance on.</w:t>
      </w:r>
    </w:p>
    <w:p w14:paraId="14C61665" w14:textId="397D29CB" w:rsidR="00C568F5" w:rsidRDefault="00C568F5" w:rsidP="00C56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 w:rsidRPr="00C568F5">
        <w:rPr>
          <w:rFonts w:cs="Times New Roman"/>
          <w:b/>
          <w:u w:val="single"/>
        </w:rPr>
        <w:t>Annual Meeting Update:</w:t>
      </w:r>
    </w:p>
    <w:p w14:paraId="15DA1608" w14:textId="77777777" w:rsidR="003763DA" w:rsidRPr="003763DA" w:rsidRDefault="00DE3CED" w:rsidP="00DE3CE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Dates are confirmed for </w:t>
      </w:r>
      <w:r w:rsidRPr="003763DA">
        <w:rPr>
          <w:rFonts w:cs="Times New Roman"/>
          <w:u w:val="single"/>
        </w:rPr>
        <w:t>September 18</w:t>
      </w:r>
      <w:r w:rsidRPr="003763DA">
        <w:rPr>
          <w:rFonts w:cs="Times New Roman"/>
          <w:u w:val="single"/>
          <w:vertAlign w:val="superscript"/>
        </w:rPr>
        <w:t>th</w:t>
      </w:r>
      <w:r w:rsidRPr="003763DA">
        <w:rPr>
          <w:rFonts w:cs="Times New Roman"/>
          <w:u w:val="single"/>
        </w:rPr>
        <w:t>-20</w:t>
      </w:r>
      <w:r w:rsidRPr="003763DA">
        <w:rPr>
          <w:rFonts w:cs="Times New Roman"/>
          <w:u w:val="single"/>
          <w:vertAlign w:val="superscript"/>
        </w:rPr>
        <w:t>th</w:t>
      </w:r>
      <w:r>
        <w:rPr>
          <w:rFonts w:cs="Times New Roman"/>
        </w:rPr>
        <w:t xml:space="preserve"> </w:t>
      </w:r>
    </w:p>
    <w:p w14:paraId="166B38FE" w14:textId="77777777" w:rsidR="003763DA" w:rsidRPr="003763DA" w:rsidRDefault="00DE3CED" w:rsidP="003763DA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2.5 day meeting to be held in Geneva at the Global Fund offices  </w:t>
      </w:r>
    </w:p>
    <w:p w14:paraId="35BFD1AA" w14:textId="1274CB02" w:rsidR="00DE3CED" w:rsidRPr="00DE3CED" w:rsidRDefault="00DE3CED" w:rsidP="003763DA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Stay tuned for more information including a Save the Date email </w:t>
      </w:r>
    </w:p>
    <w:p w14:paraId="6423E21C" w14:textId="77777777" w:rsidR="00DE3CED" w:rsidRPr="00C568F5" w:rsidRDefault="00DE3CED" w:rsidP="00DE3CED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b/>
          <w:u w:val="single"/>
        </w:rPr>
      </w:pPr>
    </w:p>
    <w:p w14:paraId="37E76C98" w14:textId="77777777" w:rsidR="00DE3CED" w:rsidRPr="00DE3CED" w:rsidRDefault="004B4DC5" w:rsidP="00DE3CED">
      <w:pPr>
        <w:pStyle w:val="ListParagraph"/>
        <w:numPr>
          <w:ilvl w:val="0"/>
          <w:numId w:val="4"/>
        </w:numPr>
        <w:rPr>
          <w:rFonts w:ascii="Calibri" w:hAnsi="Calibri" w:cs="Calibri"/>
          <w:b/>
          <w:color w:val="000000"/>
          <w:u w:val="single"/>
        </w:rPr>
      </w:pPr>
      <w:r w:rsidRPr="00DE3CED">
        <w:rPr>
          <w:rFonts w:ascii="Calibri" w:hAnsi="Calibri" w:cs="Calibri"/>
          <w:b/>
          <w:color w:val="000000"/>
          <w:u w:val="single"/>
        </w:rPr>
        <w:t xml:space="preserve">Partner Updates: </w:t>
      </w:r>
      <w:r w:rsidR="00DE3CED" w:rsidRPr="00DE3CED">
        <w:rPr>
          <w:rFonts w:ascii="Calibri" w:hAnsi="Calibri" w:cs="Calibri"/>
          <w:color w:val="000000"/>
        </w:rPr>
        <w:t>UNICEF: Valentina Buj</w:t>
      </w:r>
    </w:p>
    <w:p w14:paraId="27585D0D" w14:textId="1AAA4894" w:rsidR="00DE3CED" w:rsidRPr="00DE3CED" w:rsidRDefault="00DE3CED" w:rsidP="00DE3CED">
      <w:pPr>
        <w:pStyle w:val="ListParagraph"/>
        <w:numPr>
          <w:ilvl w:val="1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There are many critical gaps across the continuum of care</w:t>
      </w:r>
    </w:p>
    <w:p w14:paraId="63C1BE31" w14:textId="3F536638" w:rsidR="00DE3CED" w:rsidRPr="00DE3CED" w:rsidRDefault="00DE3CED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West Africa has the biggest gaps</w:t>
      </w:r>
    </w:p>
    <w:p w14:paraId="649FA90D" w14:textId="2B982E8F" w:rsidR="00DE3CED" w:rsidRPr="00DE3CED" w:rsidRDefault="00DE3CED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Poor women are 4 times less likely to access </w:t>
      </w:r>
      <w:proofErr w:type="spellStart"/>
      <w:r>
        <w:rPr>
          <w:rFonts w:ascii="Calibri" w:hAnsi="Calibri" w:cs="Calibri"/>
          <w:color w:val="000000"/>
        </w:rPr>
        <w:t>IPTp</w:t>
      </w:r>
      <w:proofErr w:type="spellEnd"/>
    </w:p>
    <w:p w14:paraId="083EF0E8" w14:textId="4E0FF304" w:rsidR="00DE3CED" w:rsidRPr="00DE3CED" w:rsidRDefault="00DE3CED" w:rsidP="00DE3CED">
      <w:pPr>
        <w:pStyle w:val="ListParagraph"/>
        <w:numPr>
          <w:ilvl w:val="1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Priorities: </w:t>
      </w:r>
    </w:p>
    <w:p w14:paraId="23E61DBF" w14:textId="57EB0972" w:rsidR="00DE3CED" w:rsidRPr="00DE3CED" w:rsidRDefault="00DE3CED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Strengthening the community platform</w:t>
      </w:r>
    </w:p>
    <w:p w14:paraId="6ED649FB" w14:textId="2DE10DC8" w:rsidR="00DE3CED" w:rsidRPr="003763DA" w:rsidRDefault="00DE3CED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Quality of Care</w:t>
      </w:r>
    </w:p>
    <w:p w14:paraId="259CC772" w14:textId="251D90AD" w:rsidR="003763DA" w:rsidRPr="003763DA" w:rsidRDefault="003763DA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Increasing access to commodities</w:t>
      </w:r>
    </w:p>
    <w:p w14:paraId="7A440DEB" w14:textId="6BCFA01A" w:rsidR="003763DA" w:rsidRPr="003763DA" w:rsidRDefault="003763DA" w:rsidP="00DE3CED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Equity: advancing policies that reduce disparities</w:t>
      </w:r>
    </w:p>
    <w:p w14:paraId="173DF218" w14:textId="51D142EB" w:rsidR="003763DA" w:rsidRPr="003763DA" w:rsidRDefault="003763DA" w:rsidP="003763DA">
      <w:pPr>
        <w:pStyle w:val="ListParagraph"/>
        <w:numPr>
          <w:ilvl w:val="1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Opportunities:</w:t>
      </w:r>
    </w:p>
    <w:p w14:paraId="640121E9" w14:textId="51A66F52" w:rsidR="003763DA" w:rsidRP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Prioritization of vulnerable populations</w:t>
      </w:r>
    </w:p>
    <w:p w14:paraId="3C4C2EA6" w14:textId="4DE55FCA" w:rsidR="003763DA" w:rsidRP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Improve governance</w:t>
      </w:r>
    </w:p>
    <w:p w14:paraId="2C22CB7E" w14:textId="6EB42A7B" w:rsidR="003763DA" w:rsidRP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>Build capacity of providers</w:t>
      </w:r>
    </w:p>
    <w:p w14:paraId="63D49DBC" w14:textId="7F0F6188" w:rsidR="003763DA" w:rsidRP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 w:rsidRPr="003763DA">
        <w:rPr>
          <w:rFonts w:ascii="Calibri" w:hAnsi="Calibri" w:cs="Calibri"/>
          <w:color w:val="000000"/>
        </w:rPr>
        <w:t xml:space="preserve">Dedicated financing for </w:t>
      </w:r>
      <w:proofErr w:type="spellStart"/>
      <w:r w:rsidRPr="003763DA">
        <w:rPr>
          <w:rFonts w:ascii="Calibri" w:hAnsi="Calibri" w:cs="Calibri"/>
          <w:color w:val="000000"/>
        </w:rPr>
        <w:t>MiP</w:t>
      </w:r>
      <w:proofErr w:type="spellEnd"/>
    </w:p>
    <w:p w14:paraId="12E53AD9" w14:textId="350D8600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Using </w:t>
      </w:r>
      <w:proofErr w:type="spellStart"/>
      <w:r>
        <w:rPr>
          <w:rFonts w:ascii="Calibri" w:hAnsi="Calibri" w:cs="Calibri"/>
          <w:color w:val="000000"/>
        </w:rPr>
        <w:t>mhealth</w:t>
      </w:r>
      <w:proofErr w:type="spellEnd"/>
      <w:r>
        <w:rPr>
          <w:rFonts w:ascii="Calibri" w:hAnsi="Calibri" w:cs="Calibri"/>
          <w:color w:val="000000"/>
        </w:rPr>
        <w:t xml:space="preserve"> opportunities</w:t>
      </w:r>
    </w:p>
    <w:p w14:paraId="67E77201" w14:textId="1ADD29D8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Reduce stigma and ignorance</w:t>
      </w:r>
    </w:p>
    <w:p w14:paraId="319B0D20" w14:textId="3EA933EA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Ensure continuum of care and consider incentives/subsidies for service utilization</w:t>
      </w:r>
    </w:p>
    <w:p w14:paraId="13730590" w14:textId="0049460A" w:rsidR="003763DA" w:rsidRDefault="003763DA" w:rsidP="003763DA">
      <w:pPr>
        <w:pStyle w:val="ListParagraph"/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Ethiopia case study:</w:t>
      </w:r>
    </w:p>
    <w:p w14:paraId="1F0E3D10" w14:textId="035F8D64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Provision of health and nutrition services</w:t>
      </w:r>
    </w:p>
    <w:p w14:paraId="01A072C4" w14:textId="0B55F6CC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Provision of training for health extension workers and health facilitators</w:t>
      </w:r>
    </w:p>
    <w:p w14:paraId="5791B191" w14:textId="4F5A8A76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LLIN distribution campaign</w:t>
      </w:r>
    </w:p>
    <w:p w14:paraId="5F7EBCD6" w14:textId="37AE2A01" w:rsidR="003763DA" w:rsidRDefault="003763DA" w:rsidP="003763DA">
      <w:pPr>
        <w:pStyle w:val="ListParagraph"/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Kenya case study: </w:t>
      </w:r>
    </w:p>
    <w:p w14:paraId="7A9816C3" w14:textId="5FAA6756" w:rsidR="003763DA" w:rsidRDefault="003763DA" w:rsidP="003763DA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Provision of anti-malaria commodities</w:t>
      </w:r>
    </w:p>
    <w:p w14:paraId="274B3C80" w14:textId="2D10CEDD" w:rsidR="003763DA" w:rsidRPr="00622E82" w:rsidRDefault="003763DA" w:rsidP="00622E82">
      <w:pPr>
        <w:pStyle w:val="ListParagraph"/>
        <w:numPr>
          <w:ilvl w:val="2"/>
          <w:numId w:val="4"/>
        </w:numPr>
        <w:rPr>
          <w:rFonts w:ascii="Calibri" w:hAnsi="Calibri" w:cs="Calibri"/>
          <w:color w:val="000000"/>
        </w:rPr>
      </w:pPr>
      <w:r>
        <w:t>Provision of training for community health volunteers</w:t>
      </w:r>
    </w:p>
    <w:p w14:paraId="53EA26F6" w14:textId="77777777" w:rsidR="00AB6EC8" w:rsidRDefault="003763DA" w:rsidP="00622E82">
      <w:pPr>
        <w:pStyle w:val="NoSpacing"/>
        <w:ind w:left="720" w:firstLine="720"/>
      </w:pPr>
      <w:r w:rsidRPr="00AB6EC8">
        <w:rPr>
          <w:i/>
          <w:u w:val="single"/>
        </w:rPr>
        <w:t>Discussion</w:t>
      </w:r>
      <w:r>
        <w:t xml:space="preserve">: </w:t>
      </w:r>
    </w:p>
    <w:p w14:paraId="6AE9F960" w14:textId="1B5CB972" w:rsidR="003763DA" w:rsidRDefault="008976FF" w:rsidP="00AB6EC8">
      <w:pPr>
        <w:pStyle w:val="NoSpacing"/>
        <w:numPr>
          <w:ilvl w:val="2"/>
          <w:numId w:val="47"/>
        </w:numPr>
      </w:pPr>
      <w:r>
        <w:t xml:space="preserve">Community involvement: </w:t>
      </w:r>
      <w:r w:rsidR="00AB6EC8">
        <w:t>Efforts are d</w:t>
      </w:r>
      <w:r w:rsidR="00622E82">
        <w:t>evolving down to district and community level</w:t>
      </w:r>
      <w:r w:rsidR="00AB6EC8">
        <w:t>s and</w:t>
      </w:r>
      <w:r w:rsidR="00622E82">
        <w:t xml:space="preserve"> </w:t>
      </w:r>
      <w:r>
        <w:t xml:space="preserve">the use of </w:t>
      </w:r>
      <w:r w:rsidR="00622E82">
        <w:t xml:space="preserve">task shifting which is aligned with </w:t>
      </w:r>
      <w:r>
        <w:t xml:space="preserve">the </w:t>
      </w:r>
      <w:r w:rsidR="00622E82">
        <w:t>updated WHO ANC guidelines.</w:t>
      </w:r>
    </w:p>
    <w:p w14:paraId="6255F572" w14:textId="3642AB9C" w:rsidR="00622E82" w:rsidRDefault="00622E82" w:rsidP="00AB6EC8">
      <w:pPr>
        <w:pStyle w:val="NoSpacing"/>
        <w:numPr>
          <w:ilvl w:val="2"/>
          <w:numId w:val="47"/>
        </w:numPr>
      </w:pPr>
      <w:r>
        <w:t xml:space="preserve">Financial barriers: </w:t>
      </w:r>
      <w:r w:rsidR="00165A54">
        <w:t xml:space="preserve">In a few countries, </w:t>
      </w:r>
      <w:r>
        <w:t xml:space="preserve">UNICEF is working on cash transfers for women to access transport to a health facility or </w:t>
      </w:r>
      <w:r w:rsidR="00AB6EC8">
        <w:t xml:space="preserve">to </w:t>
      </w:r>
      <w:r>
        <w:t xml:space="preserve">enable them to buy the drugs/vitamins that they need. </w:t>
      </w:r>
    </w:p>
    <w:p w14:paraId="58935990" w14:textId="3915046D" w:rsidR="00622E82" w:rsidRDefault="00622E82" w:rsidP="00AB6EC8">
      <w:pPr>
        <w:pStyle w:val="NoSpacing"/>
        <w:numPr>
          <w:ilvl w:val="2"/>
          <w:numId w:val="47"/>
        </w:numPr>
      </w:pPr>
      <w:r>
        <w:t xml:space="preserve">% of women sleeping under an ITN: The coverage is higher where countries have sustained financing to do </w:t>
      </w:r>
      <w:r w:rsidR="00165A54">
        <w:t xml:space="preserve">universal coverage </w:t>
      </w:r>
      <w:r>
        <w:t xml:space="preserve">campaigns </w:t>
      </w:r>
      <w:r w:rsidR="00165A54">
        <w:t xml:space="preserve">as well as </w:t>
      </w:r>
      <w:r>
        <w:t>financing for routine coverage</w:t>
      </w:r>
      <w:r w:rsidR="00165A54">
        <w:t xml:space="preserve">. </w:t>
      </w:r>
    </w:p>
    <w:p w14:paraId="7DECB88B" w14:textId="65396C50" w:rsidR="00622E82" w:rsidRDefault="00622E82" w:rsidP="00AB6EC8">
      <w:pPr>
        <w:pStyle w:val="NoSpacing"/>
        <w:numPr>
          <w:ilvl w:val="2"/>
          <w:numId w:val="47"/>
        </w:numPr>
      </w:pPr>
      <w:r>
        <w:t xml:space="preserve">Cross-sectoral approach: UNICEF has programs such as adolescent-targeted programs, WASH, education---these are important programs to sensitize women to their </w:t>
      </w:r>
      <w:r w:rsidR="008976FF">
        <w:t xml:space="preserve">health </w:t>
      </w:r>
      <w:r>
        <w:t>rig</w:t>
      </w:r>
      <w:r w:rsidR="008976FF">
        <w:t xml:space="preserve">hts </w:t>
      </w:r>
      <w:r>
        <w:t xml:space="preserve">and the importance of ANC and </w:t>
      </w:r>
      <w:r w:rsidR="008976FF">
        <w:t>help</w:t>
      </w:r>
      <w:r>
        <w:t xml:space="preserve"> to increase service demand.</w:t>
      </w:r>
    </w:p>
    <w:p w14:paraId="79AE321D" w14:textId="17C77829" w:rsidR="00622E82" w:rsidRDefault="008976FF" w:rsidP="008976FF">
      <w:pPr>
        <w:pStyle w:val="NoSpacing"/>
        <w:numPr>
          <w:ilvl w:val="2"/>
          <w:numId w:val="47"/>
        </w:numPr>
      </w:pPr>
      <w:r>
        <w:t xml:space="preserve">Commodities: </w:t>
      </w:r>
      <w:r w:rsidR="00622E82">
        <w:t>UNICEF works on the global harmonization of supplies and work</w:t>
      </w:r>
      <w:r>
        <w:t>s</w:t>
      </w:r>
      <w:r w:rsidR="00622E82">
        <w:t xml:space="preserve"> with manufacturers to make sure there is </w:t>
      </w:r>
      <w:r w:rsidR="00165A54">
        <w:t xml:space="preserve">a </w:t>
      </w:r>
      <w:r w:rsidR="00622E82">
        <w:t xml:space="preserve">diversity </w:t>
      </w:r>
      <w:r w:rsidR="00165A54">
        <w:t xml:space="preserve">of </w:t>
      </w:r>
      <w:r w:rsidR="00622E82">
        <w:t>supplie</w:t>
      </w:r>
      <w:r w:rsidR="00165A54">
        <w:t>rs</w:t>
      </w:r>
      <w:r w:rsidR="00622E82">
        <w:t xml:space="preserve">.  </w:t>
      </w:r>
      <w:r>
        <w:t>UNICEF is working to s</w:t>
      </w:r>
      <w:r w:rsidR="00622E82">
        <w:t xml:space="preserve">trengthen commodity systems at all levels, all the way down to </w:t>
      </w:r>
      <w:r>
        <w:t xml:space="preserve">client </w:t>
      </w:r>
      <w:r w:rsidR="00622E82">
        <w:t xml:space="preserve">demand so there is a positive feedback loop to push for consistent supply chains. </w:t>
      </w:r>
    </w:p>
    <w:p w14:paraId="0B884957" w14:textId="3F705338" w:rsidR="00622E82" w:rsidRDefault="00621747" w:rsidP="008976FF">
      <w:pPr>
        <w:pStyle w:val="NoSpacing"/>
        <w:numPr>
          <w:ilvl w:val="2"/>
          <w:numId w:val="47"/>
        </w:numPr>
      </w:pPr>
      <w:r>
        <w:t xml:space="preserve">SP use as monotherapy: </w:t>
      </w:r>
      <w:r w:rsidR="008976FF">
        <w:t>UNICEF is working to improve</w:t>
      </w:r>
      <w:r>
        <w:t xml:space="preserve"> supportive supervision, </w:t>
      </w:r>
      <w:r w:rsidR="008976FF">
        <w:t xml:space="preserve">and advocacy for </w:t>
      </w:r>
      <w:r>
        <w:t>respecting WHO norms on guidelines for use of medi</w:t>
      </w:r>
      <w:r w:rsidR="008976FF">
        <w:t xml:space="preserve">cations </w:t>
      </w:r>
      <w:r w:rsidR="00165A54">
        <w:t xml:space="preserve">e.g. via </w:t>
      </w:r>
      <w:r>
        <w:t>SMS reminders</w:t>
      </w:r>
      <w:r w:rsidR="00165A54">
        <w:t xml:space="preserve"> and other m-health activi</w:t>
      </w:r>
      <w:r w:rsidR="00BB12BB">
        <w:t>ti</w:t>
      </w:r>
      <w:r w:rsidR="00165A54">
        <w:t>es (e.g. U-Report for community notification of stock-outs)</w:t>
      </w:r>
      <w:r w:rsidR="008976FF">
        <w:t>.  They are</w:t>
      </w:r>
      <w:r>
        <w:t xml:space="preserve"> </w:t>
      </w:r>
      <w:r w:rsidR="008976FF">
        <w:t>improving</w:t>
      </w:r>
      <w:r>
        <w:t xml:space="preserve"> incentives for supervisors to </w:t>
      </w:r>
      <w:r w:rsidR="008976FF">
        <w:t>visit</w:t>
      </w:r>
      <w:r>
        <w:t xml:space="preserve"> hard to reach areas to reinforce messaging on the proper use of medication.</w:t>
      </w:r>
    </w:p>
    <w:p w14:paraId="38A70252" w14:textId="00854890" w:rsidR="00622E82" w:rsidRDefault="00621747" w:rsidP="008976FF">
      <w:pPr>
        <w:pStyle w:val="NoSpacing"/>
        <w:ind w:left="720" w:firstLine="720"/>
      </w:pPr>
      <w:r w:rsidRPr="008976FF">
        <w:rPr>
          <w:b/>
          <w:i/>
        </w:rPr>
        <w:t>Please contact Valentina directly with any additional questions:</w:t>
      </w:r>
      <w:r>
        <w:t xml:space="preserve"> </w:t>
      </w:r>
      <w:hyperlink r:id="rId8" w:history="1">
        <w:r w:rsidR="00AB6EC8" w:rsidRPr="009D54B1">
          <w:rPr>
            <w:rStyle w:val="Hyperlink"/>
          </w:rPr>
          <w:t>vbuj@unicef.org</w:t>
        </w:r>
      </w:hyperlink>
    </w:p>
    <w:p w14:paraId="01D51547" w14:textId="77777777" w:rsidR="00AB6EC8" w:rsidRPr="00AB6EC8" w:rsidRDefault="00AB6EC8" w:rsidP="00AB6EC8">
      <w:pPr>
        <w:pStyle w:val="NoSpacing"/>
      </w:pPr>
    </w:p>
    <w:p w14:paraId="326B761F" w14:textId="77777777" w:rsidR="008976FF" w:rsidRPr="008976FF" w:rsidRDefault="00621747" w:rsidP="008976FF">
      <w:pPr>
        <w:pStyle w:val="NoSpacing"/>
        <w:rPr>
          <w:b/>
          <w:u w:val="single"/>
        </w:rPr>
      </w:pPr>
      <w:r w:rsidRPr="008976FF">
        <w:rPr>
          <w:b/>
          <w:u w:val="single"/>
        </w:rPr>
        <w:lastRenderedPageBreak/>
        <w:t xml:space="preserve">Partner Highlights: </w:t>
      </w:r>
    </w:p>
    <w:p w14:paraId="39EEF5DE" w14:textId="5F9F3F5A" w:rsidR="00AB6EC8" w:rsidRDefault="00AB6EC8" w:rsidP="008976FF">
      <w:pPr>
        <w:pStyle w:val="NoSpacing"/>
      </w:pPr>
      <w:r>
        <w:t xml:space="preserve">We’d like to begin having partners present during the WG meetings to share what we are doing and highlight better practices in </w:t>
      </w:r>
      <w:proofErr w:type="spellStart"/>
      <w:proofErr w:type="gramStart"/>
      <w:r>
        <w:t>MiP</w:t>
      </w:r>
      <w:proofErr w:type="spellEnd"/>
      <w:proofErr w:type="gramEnd"/>
      <w:r>
        <w:t xml:space="preserve">. </w:t>
      </w:r>
    </w:p>
    <w:p w14:paraId="635F5EE4" w14:textId="04AB5E8B" w:rsidR="00621747" w:rsidRPr="008976FF" w:rsidRDefault="00AB6EC8" w:rsidP="008976FF">
      <w:pPr>
        <w:pStyle w:val="NoSpacing"/>
        <w:rPr>
          <w:i/>
          <w:color w:val="FF0000"/>
        </w:rPr>
      </w:pPr>
      <w:r w:rsidRPr="008976FF">
        <w:rPr>
          <w:b/>
          <w:color w:val="FF0000"/>
          <w:u w:val="single"/>
        </w:rPr>
        <w:t>ACTION:</w:t>
      </w:r>
      <w:r w:rsidRPr="008976FF">
        <w:rPr>
          <w:color w:val="FF0000"/>
        </w:rPr>
        <w:t xml:space="preserve"> </w:t>
      </w:r>
      <w:r w:rsidR="00621747" w:rsidRPr="008976FF">
        <w:rPr>
          <w:i/>
          <w:color w:val="FF0000"/>
        </w:rPr>
        <w:t>If you have something you are working on or something you want to highlight beyond just a quick update, please send Elaine, Viviana and Kristen a note.  We’ll also be reaching out to partne</w:t>
      </w:r>
      <w:r w:rsidR="000C0CA8">
        <w:rPr>
          <w:i/>
          <w:color w:val="FF0000"/>
        </w:rPr>
        <w:t>rs to volunteer for presenting highlights</w:t>
      </w:r>
      <w:r w:rsidR="00621747" w:rsidRPr="008976FF">
        <w:rPr>
          <w:i/>
          <w:color w:val="FF0000"/>
        </w:rPr>
        <w:t xml:space="preserve">!  </w:t>
      </w:r>
    </w:p>
    <w:p w14:paraId="36C4B377" w14:textId="77777777" w:rsidR="00DE3CED" w:rsidRPr="00DE3CED" w:rsidRDefault="00DE3CED" w:rsidP="00DE3CE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u w:val="single"/>
        </w:rPr>
      </w:pPr>
    </w:p>
    <w:p w14:paraId="531C09FD" w14:textId="77777777" w:rsidR="00C568F5" w:rsidRDefault="00C568F5" w:rsidP="00C568F5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Work Plan Overview and Update</w:t>
      </w:r>
    </w:p>
    <w:p w14:paraId="2F6EAC11" w14:textId="43CBE40A" w:rsidR="008976FF" w:rsidRDefault="008976FF" w:rsidP="00C568F5">
      <w:pPr>
        <w:pStyle w:val="ListParagraph"/>
        <w:numPr>
          <w:ilvl w:val="0"/>
          <w:numId w:val="43"/>
        </w:numPr>
      </w:pPr>
      <w:r>
        <w:t>Updates:</w:t>
      </w:r>
    </w:p>
    <w:p w14:paraId="6B23D141" w14:textId="39FD8FCE" w:rsidR="00621747" w:rsidRDefault="00621747" w:rsidP="008976FF">
      <w:pPr>
        <w:pStyle w:val="ListParagraph"/>
        <w:numPr>
          <w:ilvl w:val="1"/>
          <w:numId w:val="43"/>
        </w:numPr>
      </w:pPr>
      <w:r>
        <w:t xml:space="preserve">CDC has a study looking at </w:t>
      </w:r>
      <w:proofErr w:type="spellStart"/>
      <w:r>
        <w:t>IPTp</w:t>
      </w:r>
      <w:proofErr w:type="spellEnd"/>
      <w:r>
        <w:t>-SP vs. DP in</w:t>
      </w:r>
      <w:r w:rsidR="00967C25">
        <w:t xml:space="preserve"> Malawi and hope to have the study completed by the end of</w:t>
      </w:r>
      <w:r>
        <w:t xml:space="preserve"> next year</w:t>
      </w:r>
      <w:r w:rsidR="00967C25">
        <w:t>---results will likely only be in 2019.</w:t>
      </w:r>
      <w:bookmarkStart w:id="0" w:name="_GoBack"/>
      <w:bookmarkEnd w:id="0"/>
      <w:r>
        <w:t xml:space="preserve"> </w:t>
      </w:r>
    </w:p>
    <w:p w14:paraId="15FBCA93" w14:textId="0A604733" w:rsidR="00621747" w:rsidRDefault="00BB12BB" w:rsidP="008976FF">
      <w:pPr>
        <w:pStyle w:val="ListParagraph"/>
        <w:numPr>
          <w:ilvl w:val="1"/>
          <w:numId w:val="43"/>
        </w:numPr>
      </w:pPr>
      <w:r>
        <w:t xml:space="preserve">There is an additional study on DP </w:t>
      </w:r>
      <w:r w:rsidR="00621747">
        <w:t>in Tanzania, Malawi and Kenya</w:t>
      </w:r>
      <w:r>
        <w:t xml:space="preserve"> led by LSTM and funded by EDCTP.  It is a 3 year trial with results expected in 2019/2020.</w:t>
      </w:r>
    </w:p>
    <w:p w14:paraId="3E35109B" w14:textId="58E2AD02" w:rsidR="00621747" w:rsidRDefault="00BB12BB" w:rsidP="008976FF">
      <w:pPr>
        <w:pStyle w:val="ListParagraph"/>
        <w:numPr>
          <w:ilvl w:val="1"/>
          <w:numId w:val="43"/>
        </w:numPr>
      </w:pPr>
      <w:r>
        <w:t xml:space="preserve">LSTMH is doing a study on the cardio-safety of DP in Tanzania. </w:t>
      </w:r>
    </w:p>
    <w:p w14:paraId="374287AE" w14:textId="1F503364" w:rsidR="00621747" w:rsidRDefault="00621747" w:rsidP="008976FF">
      <w:pPr>
        <w:pStyle w:val="ListParagraph"/>
        <w:numPr>
          <w:ilvl w:val="1"/>
          <w:numId w:val="43"/>
        </w:numPr>
      </w:pPr>
      <w:r>
        <w:t xml:space="preserve">A study by LSTMH on the protective effects of SP beyond malaria </w:t>
      </w:r>
      <w:r w:rsidR="008976FF">
        <w:t>was recently</w:t>
      </w:r>
      <w:r>
        <w:t xml:space="preserve"> accepted</w:t>
      </w:r>
      <w:r w:rsidR="00BB12BB">
        <w:t>.</w:t>
      </w:r>
    </w:p>
    <w:p w14:paraId="6D2F210F" w14:textId="77777777" w:rsidR="008976FF" w:rsidRDefault="00621747" w:rsidP="00621747">
      <w:pPr>
        <w:pStyle w:val="ListParagraph"/>
        <w:numPr>
          <w:ilvl w:val="0"/>
          <w:numId w:val="43"/>
        </w:numPr>
      </w:pPr>
      <w:r>
        <w:t xml:space="preserve">A big focus of the work plan this year in terms of accelerating </w:t>
      </w:r>
      <w:proofErr w:type="spellStart"/>
      <w:proofErr w:type="gramStart"/>
      <w:r>
        <w:t>MiP</w:t>
      </w:r>
      <w:proofErr w:type="spellEnd"/>
      <w:proofErr w:type="gramEnd"/>
      <w:r>
        <w:t xml:space="preserve"> is working really closely with WHO to support the dissemination of the new ANC recommendations and </w:t>
      </w:r>
      <w:r w:rsidR="008976FF">
        <w:t xml:space="preserve">to </w:t>
      </w:r>
      <w:r>
        <w:t xml:space="preserve">use this as an opportunity to highlight the importance of </w:t>
      </w:r>
      <w:proofErr w:type="spellStart"/>
      <w:r>
        <w:t>MiP</w:t>
      </w:r>
      <w:proofErr w:type="spellEnd"/>
      <w:r>
        <w:t xml:space="preserve">.  </w:t>
      </w:r>
    </w:p>
    <w:p w14:paraId="572E2700" w14:textId="5BA5E5D9" w:rsidR="008976FF" w:rsidRDefault="00621747" w:rsidP="008976FF">
      <w:pPr>
        <w:pStyle w:val="ListParagraph"/>
        <w:numPr>
          <w:ilvl w:val="1"/>
          <w:numId w:val="43"/>
        </w:numPr>
      </w:pPr>
      <w:r>
        <w:t xml:space="preserve">The infographic </w:t>
      </w:r>
      <w:r w:rsidR="008976FF">
        <w:t>launched last year before World Malaria Day is a great example of a WG product about</w:t>
      </w:r>
      <w:r>
        <w:t xml:space="preserve"> the continued importance of addressing </w:t>
      </w:r>
      <w:proofErr w:type="spellStart"/>
      <w:proofErr w:type="gramStart"/>
      <w:r>
        <w:t>MiP</w:t>
      </w:r>
      <w:proofErr w:type="spellEnd"/>
      <w:proofErr w:type="gramEnd"/>
      <w:r>
        <w:t xml:space="preserve"> and what countries can do to follow the </w:t>
      </w:r>
      <w:proofErr w:type="spellStart"/>
      <w:r>
        <w:t>MiP</w:t>
      </w:r>
      <w:proofErr w:type="spellEnd"/>
      <w:r>
        <w:t xml:space="preserve"> recommendatio</w:t>
      </w:r>
      <w:r w:rsidR="008976FF">
        <w:t>ns.</w:t>
      </w:r>
    </w:p>
    <w:p w14:paraId="3FC85CDA" w14:textId="5B22935E" w:rsidR="008976FF" w:rsidRDefault="00621747" w:rsidP="008976FF">
      <w:pPr>
        <w:pStyle w:val="ListParagraph"/>
        <w:numPr>
          <w:ilvl w:val="1"/>
          <w:numId w:val="43"/>
        </w:numPr>
      </w:pPr>
      <w:r>
        <w:t xml:space="preserve">Collectively partners are working at the country level to develop and disseminate new tools to advance </w:t>
      </w:r>
      <w:proofErr w:type="spellStart"/>
      <w:proofErr w:type="gramStart"/>
      <w:r>
        <w:t>MiP</w:t>
      </w:r>
      <w:proofErr w:type="spellEnd"/>
      <w:proofErr w:type="gramEnd"/>
      <w:r w:rsidR="008976FF">
        <w:t>, in the context of the new recommendations</w:t>
      </w:r>
      <w:r>
        <w:t xml:space="preserve">.  </w:t>
      </w:r>
    </w:p>
    <w:p w14:paraId="3F8D56B3" w14:textId="77777777" w:rsidR="000C0CA8" w:rsidRDefault="00621747" w:rsidP="008976FF">
      <w:pPr>
        <w:pStyle w:val="ListParagraph"/>
        <w:numPr>
          <w:ilvl w:val="1"/>
          <w:numId w:val="43"/>
        </w:numPr>
      </w:pPr>
      <w:r>
        <w:t>Th</w:t>
      </w:r>
      <w:r w:rsidR="008976FF">
        <w:t xml:space="preserve">e updated ANC guidelines provide a great opportunity </w:t>
      </w:r>
      <w:r>
        <w:t xml:space="preserve">to </w:t>
      </w:r>
      <w:r w:rsidR="008976FF">
        <w:t>increase</w:t>
      </w:r>
      <w:r>
        <w:t xml:space="preserve"> the focus on </w:t>
      </w:r>
      <w:proofErr w:type="spellStart"/>
      <w:proofErr w:type="gramStart"/>
      <w:r>
        <w:t>MiP</w:t>
      </w:r>
      <w:proofErr w:type="spellEnd"/>
      <w:proofErr w:type="gramEnd"/>
      <w:r>
        <w:t>.</w:t>
      </w:r>
    </w:p>
    <w:p w14:paraId="1E02F4E2" w14:textId="0ADFB31F" w:rsidR="00621747" w:rsidRDefault="000C0CA8" w:rsidP="008976FF">
      <w:pPr>
        <w:pStyle w:val="ListParagraph"/>
        <w:numPr>
          <w:ilvl w:val="1"/>
          <w:numId w:val="43"/>
        </w:numPr>
      </w:pPr>
      <w:r>
        <w:t xml:space="preserve"> It’s important to r</w:t>
      </w:r>
      <w:r w:rsidR="00621747">
        <w:t xml:space="preserve">ecognize that this is a global issue and this support extends beyond Africa. </w:t>
      </w:r>
    </w:p>
    <w:p w14:paraId="19C273AB" w14:textId="77777777" w:rsidR="000C0CA8" w:rsidRDefault="00621747" w:rsidP="00621747">
      <w:pPr>
        <w:pStyle w:val="ListParagraph"/>
        <w:numPr>
          <w:ilvl w:val="0"/>
          <w:numId w:val="43"/>
        </w:numPr>
      </w:pPr>
      <w:r>
        <w:t xml:space="preserve">Case Management Job Aid: </w:t>
      </w:r>
      <w:r w:rsidR="000C0CA8">
        <w:t>Jhpiego</w:t>
      </w:r>
      <w:r w:rsidR="00562B0F">
        <w:t xml:space="preserve"> received very positive feedback</w:t>
      </w:r>
      <w:r w:rsidR="000C0CA8">
        <w:t xml:space="preserve"> from the field testing and is in the process of</w:t>
      </w:r>
      <w:r w:rsidR="00562B0F">
        <w:t xml:space="preserve"> incorporating that feedback with the hopes of being able to share a final version by the next </w:t>
      </w:r>
      <w:r w:rsidR="000C0CA8">
        <w:t xml:space="preserve">WG </w:t>
      </w:r>
      <w:r w:rsidR="00562B0F">
        <w:t xml:space="preserve">meeting. </w:t>
      </w:r>
    </w:p>
    <w:p w14:paraId="3A8B046F" w14:textId="1FAEE523" w:rsidR="00621747" w:rsidRDefault="00621747" w:rsidP="000C0CA8">
      <w:pPr>
        <w:pStyle w:val="ListParagraph"/>
        <w:numPr>
          <w:ilvl w:val="1"/>
          <w:numId w:val="43"/>
        </w:numPr>
      </w:pPr>
      <w:r>
        <w:t>There is evidence for changing first line</w:t>
      </w:r>
      <w:r w:rsidR="00562B0F">
        <w:t xml:space="preserve"> treatment, but </w:t>
      </w:r>
      <w:r w:rsidR="000C0CA8">
        <w:t>there won’t be anything released officially</w:t>
      </w:r>
      <w:r w:rsidR="00562B0F">
        <w:t xml:space="preserve"> until next year.  </w:t>
      </w:r>
      <w:r w:rsidR="000C0CA8">
        <w:t>Jhpiego is</w:t>
      </w:r>
      <w:r w:rsidR="00562B0F">
        <w:t xml:space="preserve"> watching for this policy change and will update the tool once this happens. </w:t>
      </w:r>
    </w:p>
    <w:p w14:paraId="13991FD2" w14:textId="77777777" w:rsidR="000C0CA8" w:rsidRDefault="00562B0F" w:rsidP="00621747">
      <w:pPr>
        <w:pStyle w:val="ListParagraph"/>
        <w:numPr>
          <w:ilvl w:val="0"/>
          <w:numId w:val="43"/>
        </w:numPr>
      </w:pPr>
      <w:r>
        <w:t xml:space="preserve">Is anyone looking into if the current recommended dosing for </w:t>
      </w:r>
      <w:proofErr w:type="spellStart"/>
      <w:r>
        <w:t>antimalarials</w:t>
      </w:r>
      <w:proofErr w:type="spellEnd"/>
      <w:r>
        <w:t xml:space="preserve"> in pregnancy is adequate and effective? </w:t>
      </w:r>
    </w:p>
    <w:p w14:paraId="2E16D565" w14:textId="40896CB1" w:rsidR="00562B0F" w:rsidRDefault="000C0CA8" w:rsidP="000C0CA8">
      <w:pPr>
        <w:pStyle w:val="ListParagraph"/>
        <w:numPr>
          <w:ilvl w:val="1"/>
          <w:numId w:val="43"/>
        </w:numPr>
      </w:pPr>
      <w:r>
        <w:t xml:space="preserve">We are tabling this </w:t>
      </w:r>
      <w:r w:rsidR="00562B0F">
        <w:t xml:space="preserve">for </w:t>
      </w:r>
      <w:r>
        <w:t xml:space="preserve">possible </w:t>
      </w:r>
      <w:r w:rsidR="00562B0F">
        <w:t>future discussion since we are out of time.</w:t>
      </w:r>
    </w:p>
    <w:p w14:paraId="2ED6BCFB" w14:textId="07CE8CB3" w:rsidR="00F549D0" w:rsidRPr="00106A48" w:rsidRDefault="00F549D0" w:rsidP="00106A48">
      <w:pPr>
        <w:pStyle w:val="NoSpacing"/>
        <w:ind w:left="1440"/>
        <w:rPr>
          <w:color w:val="FF0000"/>
        </w:rPr>
      </w:pPr>
    </w:p>
    <w:sectPr w:rsidR="00F549D0" w:rsidRPr="00106A48" w:rsidSect="008068CA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F0F5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E0FFE" w14:textId="77777777" w:rsidR="00316DAC" w:rsidRDefault="00316DAC" w:rsidP="007F49C1">
      <w:pPr>
        <w:spacing w:after="0" w:line="240" w:lineRule="auto"/>
      </w:pPr>
      <w:r>
        <w:separator/>
      </w:r>
    </w:p>
  </w:endnote>
  <w:endnote w:type="continuationSeparator" w:id="0">
    <w:p w14:paraId="745F1EC5" w14:textId="77777777" w:rsidR="00316DAC" w:rsidRDefault="00316DAC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A1E8" w14:textId="77777777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8802B9" w:rsidRDefault="008802B9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D7ED4" w14:textId="77777777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C2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72D4AA" w14:textId="663AF209" w:rsidR="00E51758" w:rsidRDefault="00E51758" w:rsidP="00820D02">
    <w:pPr>
      <w:pStyle w:val="Footer"/>
      <w:ind w:right="360"/>
      <w:jc w:val="center"/>
    </w:pPr>
  </w:p>
  <w:p w14:paraId="165581B6" w14:textId="77777777" w:rsidR="00E51758" w:rsidRDefault="00E51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57340" w14:textId="77777777" w:rsidR="00316DAC" w:rsidRDefault="00316DAC" w:rsidP="007F49C1">
      <w:pPr>
        <w:spacing w:after="0" w:line="240" w:lineRule="auto"/>
      </w:pPr>
      <w:r>
        <w:separator/>
      </w:r>
    </w:p>
  </w:footnote>
  <w:footnote w:type="continuationSeparator" w:id="0">
    <w:p w14:paraId="520296BE" w14:textId="77777777" w:rsidR="00316DAC" w:rsidRDefault="00316DAC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2DB"/>
    <w:multiLevelType w:val="hybridMultilevel"/>
    <w:tmpl w:val="A8F43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A5521"/>
    <w:multiLevelType w:val="hybridMultilevel"/>
    <w:tmpl w:val="D0282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45678"/>
    <w:multiLevelType w:val="hybridMultilevel"/>
    <w:tmpl w:val="45D2EC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F6B26D5"/>
    <w:multiLevelType w:val="hybridMultilevel"/>
    <w:tmpl w:val="F6DAA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A12CB4"/>
    <w:multiLevelType w:val="hybridMultilevel"/>
    <w:tmpl w:val="B9547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C28C2"/>
    <w:multiLevelType w:val="hybridMultilevel"/>
    <w:tmpl w:val="BC7EB8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C1216"/>
    <w:multiLevelType w:val="hybridMultilevel"/>
    <w:tmpl w:val="339C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80CA1"/>
    <w:multiLevelType w:val="hybridMultilevel"/>
    <w:tmpl w:val="5066D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32AF7"/>
    <w:multiLevelType w:val="hybridMultilevel"/>
    <w:tmpl w:val="A22845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782B72"/>
    <w:multiLevelType w:val="hybridMultilevel"/>
    <w:tmpl w:val="3F46EA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FCF0E54"/>
    <w:multiLevelType w:val="singleLevel"/>
    <w:tmpl w:val="CFD8317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07D1BCF"/>
    <w:multiLevelType w:val="hybridMultilevel"/>
    <w:tmpl w:val="FAD8E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66C7D"/>
    <w:multiLevelType w:val="hybridMultilevel"/>
    <w:tmpl w:val="A17A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96D8F"/>
    <w:multiLevelType w:val="hybridMultilevel"/>
    <w:tmpl w:val="BFC0B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285D1D"/>
    <w:multiLevelType w:val="hybridMultilevel"/>
    <w:tmpl w:val="3470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5F076C"/>
    <w:multiLevelType w:val="hybridMultilevel"/>
    <w:tmpl w:val="F4DC314A"/>
    <w:lvl w:ilvl="0" w:tplc="793C9490">
      <w:start w:val="1"/>
      <w:numFmt w:val="lowerRoman"/>
      <w:lvlText w:val="%1."/>
      <w:lvlJc w:val="left"/>
      <w:pPr>
        <w:ind w:left="1440" w:hanging="720"/>
      </w:pPr>
      <w:rPr>
        <w:rFonts w:ascii="Calibri" w:hAnsi="Calibri" w:cs="Calibri"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6E503C"/>
    <w:multiLevelType w:val="hybridMultilevel"/>
    <w:tmpl w:val="C526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906AB"/>
    <w:multiLevelType w:val="hybridMultilevel"/>
    <w:tmpl w:val="1774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B04D8"/>
    <w:multiLevelType w:val="hybridMultilevel"/>
    <w:tmpl w:val="0712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F79F5"/>
    <w:multiLevelType w:val="hybridMultilevel"/>
    <w:tmpl w:val="EE1AF9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53458DE"/>
    <w:multiLevelType w:val="hybridMultilevel"/>
    <w:tmpl w:val="626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505F9"/>
    <w:multiLevelType w:val="hybridMultilevel"/>
    <w:tmpl w:val="95F8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E7623"/>
    <w:multiLevelType w:val="hybridMultilevel"/>
    <w:tmpl w:val="CE645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7A43B4"/>
    <w:multiLevelType w:val="hybridMultilevel"/>
    <w:tmpl w:val="FFD062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41A75B6F"/>
    <w:multiLevelType w:val="hybridMultilevel"/>
    <w:tmpl w:val="DA02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83DA4"/>
    <w:multiLevelType w:val="hybridMultilevel"/>
    <w:tmpl w:val="19B6A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10616A"/>
    <w:multiLevelType w:val="hybridMultilevel"/>
    <w:tmpl w:val="F5E0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7D4BEA"/>
    <w:multiLevelType w:val="hybridMultilevel"/>
    <w:tmpl w:val="3C223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C7CEC"/>
    <w:multiLevelType w:val="hybridMultilevel"/>
    <w:tmpl w:val="D54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C37E6D"/>
    <w:multiLevelType w:val="hybridMultilevel"/>
    <w:tmpl w:val="4656C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C46775"/>
    <w:multiLevelType w:val="hybridMultilevel"/>
    <w:tmpl w:val="7DFA3C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2">
    <w:nsid w:val="53436CBB"/>
    <w:multiLevelType w:val="hybridMultilevel"/>
    <w:tmpl w:val="3BDCF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77CE1"/>
    <w:multiLevelType w:val="hybridMultilevel"/>
    <w:tmpl w:val="24542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6856893"/>
    <w:multiLevelType w:val="hybridMultilevel"/>
    <w:tmpl w:val="791CB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A3C4E"/>
    <w:multiLevelType w:val="hybridMultilevel"/>
    <w:tmpl w:val="81C28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D22700"/>
    <w:multiLevelType w:val="hybridMultilevel"/>
    <w:tmpl w:val="EE20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750B46"/>
    <w:multiLevelType w:val="hybridMultilevel"/>
    <w:tmpl w:val="008C5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14D22A1"/>
    <w:multiLevelType w:val="hybridMultilevel"/>
    <w:tmpl w:val="773CB4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E3BFF"/>
    <w:multiLevelType w:val="hybridMultilevel"/>
    <w:tmpl w:val="AAAE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3F0FFB"/>
    <w:multiLevelType w:val="hybridMultilevel"/>
    <w:tmpl w:val="625494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>
    <w:nsid w:val="72783816"/>
    <w:multiLevelType w:val="hybridMultilevel"/>
    <w:tmpl w:val="BB74C5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30735ED"/>
    <w:multiLevelType w:val="singleLevel"/>
    <w:tmpl w:val="EA9639B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637755F"/>
    <w:multiLevelType w:val="hybridMultilevel"/>
    <w:tmpl w:val="20D62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B97070"/>
    <w:multiLevelType w:val="hybridMultilevel"/>
    <w:tmpl w:val="34B8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64FFE"/>
    <w:multiLevelType w:val="multilevel"/>
    <w:tmpl w:val="F7F8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038D2"/>
    <w:multiLevelType w:val="hybridMultilevel"/>
    <w:tmpl w:val="1CB83FF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21"/>
  </w:num>
  <w:num w:numId="4">
    <w:abstractNumId w:val="18"/>
  </w:num>
  <w:num w:numId="5">
    <w:abstractNumId w:val="4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1"/>
    </w:lvlOverride>
  </w:num>
  <w:num w:numId="7">
    <w:abstractNumId w:val="25"/>
  </w:num>
  <w:num w:numId="8">
    <w:abstractNumId w:val="27"/>
  </w:num>
  <w:num w:numId="9">
    <w:abstractNumId w:val="9"/>
  </w:num>
  <w:num w:numId="10">
    <w:abstractNumId w:val="32"/>
  </w:num>
  <w:num w:numId="11">
    <w:abstractNumId w:val="28"/>
  </w:num>
  <w:num w:numId="12">
    <w:abstractNumId w:val="41"/>
  </w:num>
  <w:num w:numId="13">
    <w:abstractNumId w:val="43"/>
  </w:num>
  <w:num w:numId="14">
    <w:abstractNumId w:val="11"/>
  </w:num>
  <w:num w:numId="15">
    <w:abstractNumId w:val="3"/>
  </w:num>
  <w:num w:numId="16">
    <w:abstractNumId w:val="17"/>
  </w:num>
  <w:num w:numId="17">
    <w:abstractNumId w:val="39"/>
  </w:num>
  <w:num w:numId="18">
    <w:abstractNumId w:val="36"/>
  </w:num>
  <w:num w:numId="19">
    <w:abstractNumId w:val="26"/>
  </w:num>
  <w:num w:numId="20">
    <w:abstractNumId w:val="22"/>
  </w:num>
  <w:num w:numId="21">
    <w:abstractNumId w:val="29"/>
  </w:num>
  <w:num w:numId="22">
    <w:abstractNumId w:val="30"/>
  </w:num>
  <w:num w:numId="23">
    <w:abstractNumId w:val="19"/>
  </w:num>
  <w:num w:numId="24">
    <w:abstractNumId w:val="37"/>
  </w:num>
  <w:num w:numId="25">
    <w:abstractNumId w:val="0"/>
  </w:num>
  <w:num w:numId="26">
    <w:abstractNumId w:val="14"/>
  </w:num>
  <w:num w:numId="27">
    <w:abstractNumId w:val="13"/>
  </w:num>
  <w:num w:numId="28">
    <w:abstractNumId w:val="6"/>
  </w:num>
  <w:num w:numId="29">
    <w:abstractNumId w:val="23"/>
  </w:num>
  <w:num w:numId="30">
    <w:abstractNumId w:val="5"/>
  </w:num>
  <w:num w:numId="31">
    <w:abstractNumId w:val="1"/>
  </w:num>
  <w:num w:numId="32">
    <w:abstractNumId w:val="4"/>
  </w:num>
  <w:num w:numId="33">
    <w:abstractNumId w:val="35"/>
  </w:num>
  <w:num w:numId="34">
    <w:abstractNumId w:val="7"/>
  </w:num>
  <w:num w:numId="35">
    <w:abstractNumId w:val="2"/>
  </w:num>
  <w:num w:numId="36">
    <w:abstractNumId w:val="33"/>
  </w:num>
  <w:num w:numId="37">
    <w:abstractNumId w:val="15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8"/>
  </w:num>
  <w:num w:numId="41">
    <w:abstractNumId w:val="46"/>
  </w:num>
  <w:num w:numId="42">
    <w:abstractNumId w:val="16"/>
  </w:num>
  <w:num w:numId="43">
    <w:abstractNumId w:val="20"/>
  </w:num>
  <w:num w:numId="44">
    <w:abstractNumId w:val="31"/>
  </w:num>
  <w:num w:numId="45">
    <w:abstractNumId w:val="24"/>
  </w:num>
  <w:num w:numId="46">
    <w:abstractNumId w:val="8"/>
  </w:num>
  <w:num w:numId="47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tina Buj">
    <w15:presenceInfo w15:providerId="AD" w15:userId="S-1-5-21-889838981-920820592-1903951286-88427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AB"/>
    <w:rsid w:val="0003000B"/>
    <w:rsid w:val="00036F55"/>
    <w:rsid w:val="0007255B"/>
    <w:rsid w:val="00074060"/>
    <w:rsid w:val="000A57E1"/>
    <w:rsid w:val="000C0CA8"/>
    <w:rsid w:val="000F74B2"/>
    <w:rsid w:val="0010081A"/>
    <w:rsid w:val="00106A48"/>
    <w:rsid w:val="0012142E"/>
    <w:rsid w:val="00122145"/>
    <w:rsid w:val="00132F19"/>
    <w:rsid w:val="00165A54"/>
    <w:rsid w:val="001E4F7B"/>
    <w:rsid w:val="001F5136"/>
    <w:rsid w:val="0020569F"/>
    <w:rsid w:val="002928FC"/>
    <w:rsid w:val="002B7367"/>
    <w:rsid w:val="002C4991"/>
    <w:rsid w:val="00316DAC"/>
    <w:rsid w:val="003763DA"/>
    <w:rsid w:val="003C4E2B"/>
    <w:rsid w:val="003C6FF4"/>
    <w:rsid w:val="00431D83"/>
    <w:rsid w:val="00433267"/>
    <w:rsid w:val="004415FD"/>
    <w:rsid w:val="00474E90"/>
    <w:rsid w:val="00492848"/>
    <w:rsid w:val="00493BB7"/>
    <w:rsid w:val="004B1888"/>
    <w:rsid w:val="004B4DC5"/>
    <w:rsid w:val="004E05A8"/>
    <w:rsid w:val="004E43C1"/>
    <w:rsid w:val="004E503D"/>
    <w:rsid w:val="004F2C0D"/>
    <w:rsid w:val="004F7D82"/>
    <w:rsid w:val="00513100"/>
    <w:rsid w:val="00562B0F"/>
    <w:rsid w:val="0058726E"/>
    <w:rsid w:val="005D1C26"/>
    <w:rsid w:val="005E2E90"/>
    <w:rsid w:val="00621747"/>
    <w:rsid w:val="00622E82"/>
    <w:rsid w:val="00631BAB"/>
    <w:rsid w:val="0066444C"/>
    <w:rsid w:val="006665D8"/>
    <w:rsid w:val="00683A6E"/>
    <w:rsid w:val="006948F0"/>
    <w:rsid w:val="006A43DD"/>
    <w:rsid w:val="006E4159"/>
    <w:rsid w:val="0074459E"/>
    <w:rsid w:val="0075220C"/>
    <w:rsid w:val="007753C6"/>
    <w:rsid w:val="00777C78"/>
    <w:rsid w:val="007B234D"/>
    <w:rsid w:val="007C053D"/>
    <w:rsid w:val="007C74AA"/>
    <w:rsid w:val="007C7BD3"/>
    <w:rsid w:val="007D73E2"/>
    <w:rsid w:val="007E03D4"/>
    <w:rsid w:val="007F49C1"/>
    <w:rsid w:val="008068CA"/>
    <w:rsid w:val="008155BF"/>
    <w:rsid w:val="00820D02"/>
    <w:rsid w:val="00843A4D"/>
    <w:rsid w:val="00877DE4"/>
    <w:rsid w:val="008802B9"/>
    <w:rsid w:val="00892EA0"/>
    <w:rsid w:val="008976FF"/>
    <w:rsid w:val="008C749B"/>
    <w:rsid w:val="009169EC"/>
    <w:rsid w:val="00932066"/>
    <w:rsid w:val="00933E4A"/>
    <w:rsid w:val="00967C25"/>
    <w:rsid w:val="009A3D68"/>
    <w:rsid w:val="009B0D13"/>
    <w:rsid w:val="009B7954"/>
    <w:rsid w:val="009C6274"/>
    <w:rsid w:val="009E783C"/>
    <w:rsid w:val="00A0034B"/>
    <w:rsid w:val="00A236C9"/>
    <w:rsid w:val="00A43A6A"/>
    <w:rsid w:val="00A5216B"/>
    <w:rsid w:val="00A57C71"/>
    <w:rsid w:val="00A707D4"/>
    <w:rsid w:val="00AA52F4"/>
    <w:rsid w:val="00AB29C6"/>
    <w:rsid w:val="00AB6EC8"/>
    <w:rsid w:val="00AE4AEE"/>
    <w:rsid w:val="00AF69BC"/>
    <w:rsid w:val="00B15065"/>
    <w:rsid w:val="00B200C1"/>
    <w:rsid w:val="00B61BCE"/>
    <w:rsid w:val="00B91D63"/>
    <w:rsid w:val="00BB12BB"/>
    <w:rsid w:val="00BB4D12"/>
    <w:rsid w:val="00BC12D9"/>
    <w:rsid w:val="00BF1E37"/>
    <w:rsid w:val="00C02260"/>
    <w:rsid w:val="00C11F5C"/>
    <w:rsid w:val="00C252A5"/>
    <w:rsid w:val="00C565E9"/>
    <w:rsid w:val="00C568F5"/>
    <w:rsid w:val="00C91DC3"/>
    <w:rsid w:val="00CB7BF4"/>
    <w:rsid w:val="00CC1498"/>
    <w:rsid w:val="00CC2324"/>
    <w:rsid w:val="00D16DA2"/>
    <w:rsid w:val="00D504A0"/>
    <w:rsid w:val="00D550BB"/>
    <w:rsid w:val="00D57814"/>
    <w:rsid w:val="00D66CA5"/>
    <w:rsid w:val="00D722BB"/>
    <w:rsid w:val="00DE3CED"/>
    <w:rsid w:val="00DE752A"/>
    <w:rsid w:val="00E403CF"/>
    <w:rsid w:val="00E51758"/>
    <w:rsid w:val="00E53389"/>
    <w:rsid w:val="00E56D77"/>
    <w:rsid w:val="00EA06AB"/>
    <w:rsid w:val="00EB7C97"/>
    <w:rsid w:val="00EC244F"/>
    <w:rsid w:val="00EE633E"/>
    <w:rsid w:val="00EF199E"/>
    <w:rsid w:val="00F013EA"/>
    <w:rsid w:val="00F1028B"/>
    <w:rsid w:val="00F451B2"/>
    <w:rsid w:val="00F4622C"/>
    <w:rsid w:val="00F549D0"/>
    <w:rsid w:val="00F81561"/>
    <w:rsid w:val="00F85AD1"/>
    <w:rsid w:val="00F91D0A"/>
    <w:rsid w:val="00F97668"/>
    <w:rsid w:val="00FE1D17"/>
    <w:rsid w:val="00FE7200"/>
    <w:rsid w:val="00FF0771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uj@unicef.org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kvibbert</cp:lastModifiedBy>
  <cp:revision>3</cp:revision>
  <dcterms:created xsi:type="dcterms:W3CDTF">2017-01-20T13:03:00Z</dcterms:created>
  <dcterms:modified xsi:type="dcterms:W3CDTF">2017-01-20T14:14:00Z</dcterms:modified>
</cp:coreProperties>
</file>